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5072" w:rsidRDefault="008C5072"/>
    <w:p w:rsidR="00C66B5C" w:rsidRDefault="00C66B5C"/>
    <w:p w:rsidR="00C66B5C" w:rsidRPr="00D85ACD" w:rsidRDefault="00C66B5C" w:rsidP="00C66B5C">
      <w:pPr>
        <w:widowControl w:val="0"/>
        <w:autoSpaceDE w:val="0"/>
        <w:autoSpaceDN w:val="0"/>
        <w:adjustRightInd w:val="0"/>
        <w:jc w:val="center"/>
        <w:rPr>
          <w:rFonts w:ascii="Century Gothic" w:hAnsi="Century Gothic"/>
        </w:rPr>
      </w:pPr>
      <w:r w:rsidRPr="007D2B1E">
        <w:rPr>
          <w:rFonts w:ascii="Century Gothic" w:hAnsi="Century Gothic"/>
          <w:b/>
          <w:bCs/>
          <w:sz w:val="20"/>
          <w:szCs w:val="20"/>
        </w:rPr>
        <w:t>In</w:t>
      </w:r>
      <w:r w:rsidRPr="00D85ACD">
        <w:rPr>
          <w:rFonts w:ascii="Century Gothic" w:hAnsi="Century Gothic"/>
          <w:b/>
          <w:bCs/>
        </w:rPr>
        <w:t>dependent Auditor’s Report</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sz w:val="20"/>
          <w:szCs w:val="20"/>
        </w:rPr>
        <w:t>To,</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sz w:val="20"/>
          <w:szCs w:val="20"/>
        </w:rPr>
        <w:t>The Members</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sz w:val="20"/>
          <w:szCs w:val="20"/>
        </w:rPr>
        <w:t>Vardhaman (Mahila) Co-operative Urban Bank Limited</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sz w:val="20"/>
          <w:szCs w:val="20"/>
        </w:rPr>
        <w:t>Hyderabad</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b/>
          <w:bCs/>
          <w:sz w:val="20"/>
          <w:szCs w:val="20"/>
        </w:rPr>
      </w:pP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b/>
          <w:bCs/>
          <w:sz w:val="20"/>
          <w:szCs w:val="20"/>
        </w:rPr>
        <w:t>Report on Financial Statements</w:t>
      </w: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1.We have audited the accompanying Financial Statements of Vardhaman (Mahila) Co-operative Urban Bank Limited</w:t>
      </w:r>
      <w:r w:rsidRPr="00D85ACD">
        <w:rPr>
          <w:rFonts w:ascii="Century Gothic" w:hAnsi="Century Gothic"/>
          <w:i/>
          <w:iCs/>
          <w:sz w:val="20"/>
          <w:szCs w:val="20"/>
        </w:rPr>
        <w:t xml:space="preserve"> </w:t>
      </w:r>
      <w:r w:rsidRPr="00D85ACD">
        <w:rPr>
          <w:rFonts w:ascii="Century Gothic" w:hAnsi="Century Gothic"/>
          <w:sz w:val="20"/>
          <w:szCs w:val="20"/>
        </w:rPr>
        <w:t>which comprise the Balance Sheet as at 31</w:t>
      </w:r>
      <w:r w:rsidRPr="00D85ACD">
        <w:rPr>
          <w:rFonts w:ascii="Century Gothic" w:hAnsi="Century Gothic"/>
          <w:sz w:val="20"/>
          <w:szCs w:val="20"/>
          <w:vertAlign w:val="superscript"/>
        </w:rPr>
        <w:t>st</w:t>
      </w:r>
      <w:r w:rsidRPr="00D85ACD">
        <w:rPr>
          <w:rFonts w:ascii="Century Gothic" w:hAnsi="Century Gothic"/>
          <w:i/>
          <w:iCs/>
          <w:sz w:val="20"/>
          <w:szCs w:val="20"/>
        </w:rPr>
        <w:t xml:space="preserve"> </w:t>
      </w:r>
      <w:r w:rsidRPr="00D85ACD">
        <w:rPr>
          <w:rFonts w:ascii="Century Gothic" w:hAnsi="Century Gothic"/>
          <w:sz w:val="20"/>
          <w:szCs w:val="20"/>
        </w:rPr>
        <w:t>March 202</w:t>
      </w:r>
      <w:r>
        <w:rPr>
          <w:rFonts w:ascii="Century Gothic" w:hAnsi="Century Gothic"/>
          <w:sz w:val="20"/>
          <w:szCs w:val="20"/>
        </w:rPr>
        <w:t>4</w:t>
      </w:r>
      <w:r w:rsidRPr="00D85ACD">
        <w:rPr>
          <w:rFonts w:ascii="Century Gothic" w:hAnsi="Century Gothic"/>
          <w:sz w:val="20"/>
          <w:szCs w:val="20"/>
        </w:rPr>
        <w:t>, Profit and Loss Account, the Receipts &amp; payments Account for the year then ended, and a summary of significant accounting policies and other</w:t>
      </w:r>
      <w:r w:rsidRPr="00D85ACD">
        <w:rPr>
          <w:rFonts w:ascii="Century Gothic" w:hAnsi="Century Gothic"/>
          <w:i/>
          <w:iCs/>
          <w:sz w:val="20"/>
          <w:szCs w:val="20"/>
        </w:rPr>
        <w:t xml:space="preserve"> </w:t>
      </w:r>
      <w:r w:rsidRPr="00D85ACD">
        <w:rPr>
          <w:rFonts w:ascii="Century Gothic" w:hAnsi="Century Gothic"/>
          <w:sz w:val="20"/>
          <w:szCs w:val="20"/>
        </w:rPr>
        <w:t xml:space="preserve">explanatory notes and information. The returns of </w:t>
      </w:r>
      <w:r>
        <w:rPr>
          <w:rFonts w:ascii="Century Gothic" w:hAnsi="Century Gothic"/>
          <w:sz w:val="20"/>
          <w:szCs w:val="20"/>
        </w:rPr>
        <w:t>9</w:t>
      </w:r>
      <w:r w:rsidRPr="00D85ACD">
        <w:rPr>
          <w:rFonts w:ascii="Century Gothic" w:hAnsi="Century Gothic"/>
          <w:sz w:val="20"/>
          <w:szCs w:val="20"/>
        </w:rPr>
        <w:t xml:space="preserve"> branches audited by us are incorporated in these financial statements.</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b/>
          <w:bCs/>
          <w:sz w:val="20"/>
          <w:szCs w:val="20"/>
        </w:rPr>
        <w:t xml:space="preserve">Opinion </w:t>
      </w:r>
    </w:p>
    <w:p w:rsidR="00C66B5C" w:rsidRPr="00D85ACD" w:rsidRDefault="00C66B5C" w:rsidP="00C66B5C">
      <w:pPr>
        <w:pStyle w:val="ListParagraph"/>
        <w:widowControl w:val="0"/>
        <w:tabs>
          <w:tab w:val="left" w:pos="270"/>
        </w:tabs>
        <w:overflowPunct w:val="0"/>
        <w:autoSpaceDE w:val="0"/>
        <w:autoSpaceDN w:val="0"/>
        <w:adjustRightInd w:val="0"/>
        <w:ind w:left="142" w:right="-593"/>
        <w:jc w:val="both"/>
        <w:rPr>
          <w:rFonts w:ascii="Century Gothic" w:hAnsi="Century Gothic"/>
          <w:sz w:val="20"/>
          <w:szCs w:val="20"/>
        </w:rPr>
      </w:pPr>
      <w:r w:rsidRPr="00D85ACD">
        <w:rPr>
          <w:rFonts w:ascii="Century Gothic" w:hAnsi="Century Gothic"/>
          <w:sz w:val="20"/>
          <w:szCs w:val="20"/>
        </w:rPr>
        <w:t>2. In our opinion and to the best of our information and according to the explanations given to us, the aforesaid financial statements together with the Notes thereon give the information required by the Banking Regulation Act, 1949 (as applicable to co</w:t>
      </w:r>
      <w:r w:rsidRPr="00D85ACD">
        <w:rPr>
          <w:rFonts w:ascii="Trebuchet MS" w:hAnsi="Trebuchet MS" w:cs="Cambria Math"/>
          <w:sz w:val="20"/>
          <w:szCs w:val="20"/>
        </w:rPr>
        <w:t>‐</w:t>
      </w:r>
      <w:r w:rsidRPr="00D85ACD">
        <w:rPr>
          <w:rFonts w:ascii="Century Gothic" w:hAnsi="Century Gothic"/>
          <w:sz w:val="20"/>
          <w:szCs w:val="20"/>
        </w:rPr>
        <w:t xml:space="preserve"> operative societies), the Telangana Cooperative Societies Act, 1964, the Telangana Cooperative Societies Rules, 1964 and guidelines issued by Reserve Bank of India and Registrar of Cooperative societies, Telangana in the manner so required and give a true and fair view in conformity with the accounting principles generally accepted in India:</w:t>
      </w:r>
    </w:p>
    <w:p w:rsidR="00C66B5C" w:rsidRPr="00D85ACD" w:rsidRDefault="00C66B5C" w:rsidP="00C66B5C">
      <w:pPr>
        <w:pStyle w:val="ListParagraph"/>
        <w:widowControl w:val="0"/>
        <w:tabs>
          <w:tab w:val="left" w:pos="270"/>
        </w:tabs>
        <w:overflowPunct w:val="0"/>
        <w:autoSpaceDE w:val="0"/>
        <w:autoSpaceDN w:val="0"/>
        <w:adjustRightInd w:val="0"/>
        <w:ind w:left="142" w:right="-593"/>
        <w:jc w:val="both"/>
        <w:rPr>
          <w:rFonts w:ascii="Century Gothic" w:hAnsi="Century Gothic"/>
          <w:sz w:val="20"/>
          <w:szCs w:val="20"/>
        </w:rPr>
      </w:pPr>
    </w:p>
    <w:p w:rsidR="00C66B5C" w:rsidRPr="00D85ACD" w:rsidRDefault="00C66B5C" w:rsidP="00C66B5C">
      <w:pPr>
        <w:pStyle w:val="ListParagraph"/>
        <w:widowControl w:val="0"/>
        <w:tabs>
          <w:tab w:val="left" w:pos="270"/>
        </w:tabs>
        <w:overflowPunct w:val="0"/>
        <w:autoSpaceDE w:val="0"/>
        <w:autoSpaceDN w:val="0"/>
        <w:adjustRightInd w:val="0"/>
        <w:ind w:left="142" w:right="-593"/>
        <w:jc w:val="both"/>
        <w:rPr>
          <w:rFonts w:ascii="Century Gothic" w:hAnsi="Century Gothic"/>
          <w:sz w:val="20"/>
          <w:szCs w:val="20"/>
        </w:rPr>
      </w:pPr>
      <w:r w:rsidRPr="00D85ACD">
        <w:rPr>
          <w:rFonts w:ascii="Century Gothic" w:hAnsi="Century Gothic"/>
          <w:sz w:val="20"/>
          <w:szCs w:val="20"/>
        </w:rPr>
        <w:t>(a) In the case of the Balance Sheet, of state of affairs of the Bank as at 31st March 202</w:t>
      </w:r>
      <w:r>
        <w:rPr>
          <w:rFonts w:ascii="Century Gothic" w:hAnsi="Century Gothic"/>
          <w:sz w:val="20"/>
          <w:szCs w:val="20"/>
        </w:rPr>
        <w:t>4</w:t>
      </w:r>
      <w:r w:rsidRPr="00D85ACD">
        <w:rPr>
          <w:rFonts w:ascii="Century Gothic" w:hAnsi="Century Gothic"/>
          <w:sz w:val="20"/>
          <w:szCs w:val="20"/>
        </w:rPr>
        <w:t>;</w:t>
      </w:r>
    </w:p>
    <w:p w:rsidR="00C66B5C" w:rsidRPr="00D85ACD" w:rsidRDefault="00C66B5C" w:rsidP="00C66B5C">
      <w:pPr>
        <w:pStyle w:val="ListParagraph"/>
        <w:widowControl w:val="0"/>
        <w:tabs>
          <w:tab w:val="left" w:pos="270"/>
        </w:tabs>
        <w:overflowPunct w:val="0"/>
        <w:autoSpaceDE w:val="0"/>
        <w:autoSpaceDN w:val="0"/>
        <w:adjustRightInd w:val="0"/>
        <w:ind w:left="142" w:right="-593"/>
        <w:jc w:val="both"/>
        <w:rPr>
          <w:rFonts w:ascii="Century Gothic" w:hAnsi="Century Gothic"/>
          <w:sz w:val="20"/>
          <w:szCs w:val="20"/>
        </w:rPr>
      </w:pPr>
      <w:r w:rsidRPr="00D85ACD">
        <w:rPr>
          <w:rFonts w:ascii="Century Gothic" w:hAnsi="Century Gothic"/>
          <w:sz w:val="20"/>
          <w:szCs w:val="20"/>
        </w:rPr>
        <w:t xml:space="preserve">(b) In the case of the Profit and Loss Account, of the profit for the year ended on that date; and </w:t>
      </w:r>
    </w:p>
    <w:p w:rsidR="00C66B5C" w:rsidRPr="00D85ACD" w:rsidRDefault="00C66B5C" w:rsidP="00C66B5C">
      <w:pPr>
        <w:pStyle w:val="ListParagraph"/>
        <w:widowControl w:val="0"/>
        <w:tabs>
          <w:tab w:val="left" w:pos="270"/>
        </w:tabs>
        <w:overflowPunct w:val="0"/>
        <w:autoSpaceDE w:val="0"/>
        <w:autoSpaceDN w:val="0"/>
        <w:adjustRightInd w:val="0"/>
        <w:ind w:left="142" w:right="-593"/>
        <w:jc w:val="both"/>
        <w:rPr>
          <w:rFonts w:ascii="Century Gothic" w:hAnsi="Century Gothic"/>
          <w:sz w:val="20"/>
          <w:szCs w:val="20"/>
        </w:rPr>
      </w:pPr>
      <w:r w:rsidRPr="00D85ACD">
        <w:rPr>
          <w:rFonts w:ascii="Century Gothic" w:hAnsi="Century Gothic"/>
          <w:sz w:val="20"/>
          <w:szCs w:val="20"/>
        </w:rPr>
        <w:t>(c) In the case of the Receipts and Payments Statement, of the receipts and payments for the year ended on that date.</w:t>
      </w:r>
    </w:p>
    <w:p w:rsidR="00C66B5C" w:rsidRPr="00D85ACD" w:rsidRDefault="00C66B5C" w:rsidP="00C66B5C">
      <w:pPr>
        <w:pStyle w:val="ListParagraph"/>
        <w:widowControl w:val="0"/>
        <w:tabs>
          <w:tab w:val="left" w:pos="270"/>
        </w:tabs>
        <w:overflowPunct w:val="0"/>
        <w:autoSpaceDE w:val="0"/>
        <w:autoSpaceDN w:val="0"/>
        <w:adjustRightInd w:val="0"/>
        <w:ind w:left="142" w:right="-593"/>
        <w:jc w:val="both"/>
        <w:rPr>
          <w:rFonts w:ascii="Century Gothic" w:hAnsi="Century Gothic"/>
          <w:sz w:val="20"/>
          <w:szCs w:val="20"/>
        </w:rPr>
      </w:pP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b/>
          <w:bCs/>
          <w:iCs/>
          <w:sz w:val="20"/>
          <w:szCs w:val="20"/>
        </w:rPr>
        <w:t>Management’s Responsibility for the Financial Statements</w:t>
      </w:r>
      <w:r w:rsidRPr="00D85ACD">
        <w:rPr>
          <w:rFonts w:ascii="Century Gothic" w:hAnsi="Century Gothic"/>
          <w:iCs/>
          <w:sz w:val="20"/>
          <w:szCs w:val="20"/>
        </w:rPr>
        <w:t>:</w:t>
      </w:r>
    </w:p>
    <w:p w:rsidR="00C66B5C" w:rsidRPr="00D85ACD" w:rsidRDefault="00C66B5C" w:rsidP="00C66B5C">
      <w:pPr>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3. The Bank’s Board of Directors and those charged with governance in accordance with Section 55A of the Telangana Co</w:t>
      </w:r>
      <w:r w:rsidRPr="00D85ACD">
        <w:rPr>
          <w:rFonts w:ascii="Trebuchet MS" w:hAnsi="Trebuchet MS" w:cs="Cambria Math"/>
          <w:sz w:val="20"/>
          <w:szCs w:val="20"/>
        </w:rPr>
        <w:t>‐</w:t>
      </w:r>
      <w:r w:rsidRPr="00D85ACD">
        <w:rPr>
          <w:rFonts w:ascii="Century Gothic" w:hAnsi="Century Gothic"/>
          <w:sz w:val="20"/>
          <w:szCs w:val="20"/>
        </w:rPr>
        <w:t>operative Societies Act, 1964 is responsible for the preparation of these financial statements that give a true and fair view of the financial position, financial performance and receipts and payments of the Bank in accordance with the Banking Regulation Act 1949 (as applicable to co</w:t>
      </w:r>
      <w:r w:rsidRPr="00D85ACD">
        <w:rPr>
          <w:rFonts w:ascii="Trebuchet MS" w:hAnsi="Trebuchet MS" w:cs="Cambria Math"/>
          <w:sz w:val="20"/>
          <w:szCs w:val="20"/>
        </w:rPr>
        <w:t>‐</w:t>
      </w:r>
      <w:r w:rsidRPr="00D85ACD">
        <w:rPr>
          <w:rFonts w:ascii="Century Gothic" w:hAnsi="Century Gothic"/>
          <w:sz w:val="20"/>
          <w:szCs w:val="20"/>
        </w:rPr>
        <w:t>operative societies), the guidelines issued by the Reserve Bank of India and the Registrar of Cooperative Societies, Telangana, the Telangana Co</w:t>
      </w:r>
      <w:r w:rsidRPr="00D85ACD">
        <w:rPr>
          <w:rFonts w:ascii="Trebuchet MS" w:hAnsi="Trebuchet MS" w:cs="Cambria Math"/>
          <w:sz w:val="20"/>
          <w:szCs w:val="20"/>
        </w:rPr>
        <w:t>‐</w:t>
      </w:r>
      <w:r w:rsidRPr="00D85ACD">
        <w:rPr>
          <w:rFonts w:ascii="Century Gothic" w:hAnsi="Century Gothic"/>
          <w:sz w:val="20"/>
          <w:szCs w:val="20"/>
        </w:rPr>
        <w:t>operative Societies Act, 1964, and the Telangana Co</w:t>
      </w:r>
      <w:r w:rsidRPr="00D85ACD">
        <w:rPr>
          <w:rFonts w:ascii="Trebuchet MS" w:hAnsi="Trebuchet MS" w:cs="Cambria Math"/>
          <w:sz w:val="20"/>
          <w:szCs w:val="20"/>
        </w:rPr>
        <w:t>‐</w:t>
      </w:r>
      <w:r w:rsidRPr="00D85ACD">
        <w:rPr>
          <w:rFonts w:ascii="Century Gothic" w:hAnsi="Century Gothic"/>
          <w:sz w:val="20"/>
          <w:szCs w:val="20"/>
        </w:rPr>
        <w:t>operative Societies Rules, 1964, (as applicable) and generally accepted accounting principles in India so far as applicable to the Bank. This responsibility includes design, implementation and maintenance of internal control relevant to the preparation of the financial statements that are free from material misstatement, whether due to fraud or error. This responsibility also includes maintenance of adequate accounting records in accordance with the provisions of the above stated Acts for safeguarding of the assets of the Bank and for preventing and detecting frauds and other irregularities; selection and application of appropriate accounting policies; making judgments and estimates that are reasonable and prudent; and design, implementation and maintenance of adequate internal financial controls, that were operating effectively for ensuring the accuracy and completeness of the accounting records, relevant to the preparation and presentation of the financial statements that give a true and fair view and are free from material misstatement, whether due to fraud or error.</w:t>
      </w:r>
    </w:p>
    <w:p w:rsidR="00C66B5C" w:rsidRDefault="00C66B5C" w:rsidP="00C66B5C">
      <w:pPr>
        <w:widowControl w:val="0"/>
        <w:autoSpaceDE w:val="0"/>
        <w:autoSpaceDN w:val="0"/>
        <w:adjustRightInd w:val="0"/>
        <w:spacing w:after="0" w:line="240" w:lineRule="auto"/>
        <w:ind w:left="142" w:right="-593"/>
        <w:rPr>
          <w:rFonts w:ascii="Century Gothic" w:hAnsi="Century Gothic"/>
          <w:b/>
          <w:bCs/>
          <w:iCs/>
          <w:sz w:val="20"/>
          <w:szCs w:val="20"/>
        </w:rPr>
      </w:pP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r w:rsidRPr="00D85ACD">
        <w:rPr>
          <w:rFonts w:ascii="Century Gothic" w:hAnsi="Century Gothic"/>
          <w:b/>
          <w:bCs/>
          <w:iCs/>
          <w:sz w:val="20"/>
          <w:szCs w:val="20"/>
        </w:rPr>
        <w:t>Auditors’ Responsibility</w:t>
      </w:r>
      <w:r w:rsidRPr="00D85ACD">
        <w:rPr>
          <w:rFonts w:ascii="Century Gothic" w:hAnsi="Century Gothic"/>
          <w:sz w:val="20"/>
          <w:szCs w:val="20"/>
        </w:rPr>
        <w:t>:</w:t>
      </w:r>
    </w:p>
    <w:p w:rsidR="00C66B5C" w:rsidRPr="00D85ACD" w:rsidRDefault="00C66B5C" w:rsidP="00C66B5C">
      <w:pPr>
        <w:widowControl w:val="0"/>
        <w:tabs>
          <w:tab w:val="left" w:pos="284"/>
        </w:tabs>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 xml:space="preserve">4. Our responsibility is to express an opinion on these financial statements based on our audit. We conducted our audit in accordance with the Standards on Auditing issued by the Institute of Chartered Accountants of India. Those Standards require that we comply with ethical requirements </w:t>
      </w:r>
      <w:r w:rsidRPr="00D85ACD">
        <w:rPr>
          <w:rFonts w:ascii="Century Gothic" w:hAnsi="Century Gothic"/>
          <w:sz w:val="20"/>
          <w:szCs w:val="20"/>
        </w:rPr>
        <w:lastRenderedPageBreak/>
        <w:t xml:space="preserve">and plan and perform the audit to obtain reasonable assurance about whether the financial statements are free from material misstatements. </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 xml:space="preserve">5. An audit involves performing procedures to obtain audit evidence about the amounts and disclosures in the financial statements. The Procedures selected depend on the auditors’ judgement, including the assessment of the risks of material misstatement of the financial statement, whether due to fraud or error. In making those risk assessments, the auditor considers internal control relevant to the entity’s preparation and fair presentation of the financial statements in order to design audit procedures that are appropriate in the circumstances. An audit also includes evaluating the appropriateness of accounting policies used and the reasonableness of the accounting estimates made by management, as well as evaluating the overall presentation of the financial statements. </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 xml:space="preserve">6. We believe that the audit evidence we have obtained is sufficient and appropriate to provide a basis for our Audit opinion. </w:t>
      </w:r>
    </w:p>
    <w:p w:rsidR="00C66B5C" w:rsidRPr="00D85ACD" w:rsidRDefault="00C66B5C" w:rsidP="00C66B5C">
      <w:pPr>
        <w:widowControl w:val="0"/>
        <w:autoSpaceDE w:val="0"/>
        <w:autoSpaceDN w:val="0"/>
        <w:adjustRightInd w:val="0"/>
        <w:spacing w:after="0" w:line="240" w:lineRule="auto"/>
        <w:ind w:left="142" w:right="-593"/>
        <w:rPr>
          <w:rFonts w:ascii="Century Gothic" w:hAnsi="Century Gothic"/>
          <w:sz w:val="20"/>
          <w:szCs w:val="20"/>
        </w:rPr>
      </w:pPr>
    </w:p>
    <w:p w:rsidR="00C66B5C" w:rsidRDefault="00C66B5C" w:rsidP="00C66B5C">
      <w:pPr>
        <w:widowControl w:val="0"/>
        <w:overflowPunct w:val="0"/>
        <w:autoSpaceDE w:val="0"/>
        <w:autoSpaceDN w:val="0"/>
        <w:adjustRightInd w:val="0"/>
        <w:spacing w:after="0" w:line="240" w:lineRule="auto"/>
        <w:ind w:left="142" w:right="-593"/>
        <w:jc w:val="both"/>
        <w:rPr>
          <w:rFonts w:ascii="Century Gothic" w:hAnsi="Century Gothic"/>
          <w:b/>
          <w:bCs/>
          <w:sz w:val="20"/>
          <w:szCs w:val="20"/>
        </w:rPr>
      </w:pPr>
      <w:r w:rsidRPr="00D85ACD">
        <w:rPr>
          <w:rFonts w:ascii="Century Gothic" w:hAnsi="Century Gothic"/>
          <w:b/>
          <w:bCs/>
          <w:sz w:val="20"/>
          <w:szCs w:val="20"/>
        </w:rPr>
        <w:t>Report on Other Legal and Regulatory Requirements</w:t>
      </w:r>
      <w:r w:rsidRPr="00D85ACD">
        <w:rPr>
          <w:rFonts w:ascii="Century Gothic" w:hAnsi="Century Gothic"/>
          <w:sz w:val="20"/>
          <w:szCs w:val="20"/>
        </w:rPr>
        <w:t>:</w:t>
      </w:r>
      <w:r w:rsidRPr="00D85ACD">
        <w:rPr>
          <w:rFonts w:ascii="Century Gothic" w:hAnsi="Century Gothic"/>
          <w:b/>
          <w:bCs/>
          <w:sz w:val="20"/>
          <w:szCs w:val="20"/>
        </w:rPr>
        <w:t xml:space="preserve"> </w:t>
      </w: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7. The Balance Sheet and the Profit and Loss Account have been drawn up in Forms “A” and “B” respectively of the Third Schedule to the Banking Regulation Act, 1949 and provisions of the Telangana Co</w:t>
      </w:r>
      <w:r w:rsidRPr="00D85ACD">
        <w:rPr>
          <w:rFonts w:ascii="Trebuchet MS" w:hAnsi="Trebuchet MS" w:cs="Cambria Math"/>
          <w:sz w:val="20"/>
          <w:szCs w:val="20"/>
        </w:rPr>
        <w:t>‐</w:t>
      </w:r>
      <w:r w:rsidRPr="00D85ACD">
        <w:rPr>
          <w:rFonts w:ascii="Century Gothic" w:hAnsi="Century Gothic"/>
          <w:sz w:val="20"/>
          <w:szCs w:val="20"/>
        </w:rPr>
        <w:t>operative Societies Act, 1964 and the Telangana Co</w:t>
      </w:r>
      <w:r w:rsidRPr="00D85ACD">
        <w:rPr>
          <w:rFonts w:ascii="Trebuchet MS" w:hAnsi="Trebuchet MS" w:cs="Cambria Math"/>
          <w:sz w:val="20"/>
          <w:szCs w:val="20"/>
        </w:rPr>
        <w:t>‐</w:t>
      </w:r>
      <w:r w:rsidRPr="00D85ACD">
        <w:rPr>
          <w:rFonts w:ascii="Century Gothic" w:hAnsi="Century Gothic"/>
          <w:sz w:val="20"/>
          <w:szCs w:val="20"/>
        </w:rPr>
        <w:t>operative Societies Rules 1964</w:t>
      </w:r>
      <w:r>
        <w:rPr>
          <w:rFonts w:ascii="Century Gothic" w:hAnsi="Century Gothic"/>
          <w:sz w:val="20"/>
          <w:szCs w:val="20"/>
        </w:rPr>
        <w:t>, subject to compliance under Rule 36-B, which is on cash basis</w:t>
      </w:r>
      <w:r w:rsidRPr="00D85ACD">
        <w:rPr>
          <w:rFonts w:ascii="Century Gothic" w:hAnsi="Century Gothic"/>
          <w:sz w:val="20"/>
          <w:szCs w:val="20"/>
        </w:rPr>
        <w:t>.</w:t>
      </w: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p>
    <w:p w:rsidR="00C66B5C"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 xml:space="preserve">8. We report that: </w:t>
      </w:r>
    </w:p>
    <w:p w:rsidR="00C66B5C" w:rsidRPr="00D85ACD" w:rsidRDefault="00C66B5C" w:rsidP="00C66B5C">
      <w:pPr>
        <w:widowControl w:val="0"/>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ab/>
      </w:r>
    </w:p>
    <w:p w:rsidR="00C66B5C" w:rsidRPr="00D85ACD" w:rsidRDefault="00C66B5C" w:rsidP="00C66B5C">
      <w:pPr>
        <w:widowControl w:val="0"/>
        <w:numPr>
          <w:ilvl w:val="0"/>
          <w:numId w:val="1"/>
        </w:numPr>
        <w:tabs>
          <w:tab w:val="left" w:pos="-270"/>
        </w:tabs>
        <w:overflowPunct w:val="0"/>
        <w:autoSpaceDE w:val="0"/>
        <w:autoSpaceDN w:val="0"/>
        <w:adjustRightInd w:val="0"/>
        <w:spacing w:after="0" w:line="240" w:lineRule="auto"/>
        <w:ind w:left="567" w:right="-593" w:hanging="425"/>
        <w:jc w:val="both"/>
        <w:rPr>
          <w:rFonts w:ascii="Century Gothic" w:hAnsi="Century Gothic"/>
          <w:sz w:val="20"/>
          <w:szCs w:val="20"/>
        </w:rPr>
      </w:pPr>
      <w:r w:rsidRPr="00D85ACD">
        <w:rPr>
          <w:rFonts w:ascii="Century Gothic" w:hAnsi="Century Gothic"/>
          <w:sz w:val="20"/>
          <w:szCs w:val="20"/>
        </w:rPr>
        <w:t xml:space="preserve">We have obtained all the information and explanations, which to the best of our knowledge and belief were necessary for the purpose of our audit and have found to be satisfactory; </w:t>
      </w:r>
    </w:p>
    <w:p w:rsidR="00C66B5C" w:rsidRPr="00D85ACD" w:rsidRDefault="00C66B5C" w:rsidP="00C66B5C">
      <w:pPr>
        <w:widowControl w:val="0"/>
        <w:numPr>
          <w:ilvl w:val="0"/>
          <w:numId w:val="1"/>
        </w:numPr>
        <w:tabs>
          <w:tab w:val="left" w:pos="-270"/>
        </w:tabs>
        <w:overflowPunct w:val="0"/>
        <w:autoSpaceDE w:val="0"/>
        <w:autoSpaceDN w:val="0"/>
        <w:adjustRightInd w:val="0"/>
        <w:spacing w:after="0" w:line="240" w:lineRule="auto"/>
        <w:ind w:left="567" w:right="-593" w:hanging="425"/>
        <w:jc w:val="both"/>
        <w:rPr>
          <w:rFonts w:ascii="Century Gothic" w:hAnsi="Century Gothic"/>
          <w:sz w:val="20"/>
          <w:szCs w:val="20"/>
        </w:rPr>
      </w:pPr>
      <w:r w:rsidRPr="00D85ACD">
        <w:rPr>
          <w:rFonts w:ascii="Century Gothic" w:hAnsi="Century Gothic"/>
          <w:sz w:val="20"/>
          <w:szCs w:val="20"/>
        </w:rPr>
        <w:t xml:space="preserve">In our opinion, proper books of account as required by law have been kept by the Bank so far as it appears from our examination of those books and proper returns adequate for the purposes of our audit have been received from the branches/offices; </w:t>
      </w:r>
    </w:p>
    <w:p w:rsidR="00C66B5C" w:rsidRPr="00D85ACD" w:rsidRDefault="00C66B5C" w:rsidP="00C66B5C">
      <w:pPr>
        <w:widowControl w:val="0"/>
        <w:numPr>
          <w:ilvl w:val="0"/>
          <w:numId w:val="1"/>
        </w:numPr>
        <w:tabs>
          <w:tab w:val="left" w:pos="-270"/>
        </w:tabs>
        <w:overflowPunct w:val="0"/>
        <w:autoSpaceDE w:val="0"/>
        <w:autoSpaceDN w:val="0"/>
        <w:adjustRightInd w:val="0"/>
        <w:spacing w:after="0" w:line="240" w:lineRule="auto"/>
        <w:ind w:left="567" w:right="-593" w:hanging="425"/>
        <w:jc w:val="both"/>
        <w:rPr>
          <w:rFonts w:ascii="Century Gothic" w:hAnsi="Century Gothic"/>
          <w:sz w:val="20"/>
          <w:szCs w:val="20"/>
        </w:rPr>
      </w:pPr>
      <w:r w:rsidRPr="00D85ACD">
        <w:rPr>
          <w:rFonts w:ascii="Century Gothic" w:hAnsi="Century Gothic"/>
          <w:sz w:val="20"/>
          <w:szCs w:val="20"/>
        </w:rPr>
        <w:t xml:space="preserve">The transactions of the Bank which have come to our notice are within the powers of the Bank; </w:t>
      </w:r>
    </w:p>
    <w:p w:rsidR="00C66B5C" w:rsidRPr="00D85ACD" w:rsidRDefault="00C66B5C" w:rsidP="00C66B5C">
      <w:pPr>
        <w:widowControl w:val="0"/>
        <w:numPr>
          <w:ilvl w:val="0"/>
          <w:numId w:val="1"/>
        </w:numPr>
        <w:tabs>
          <w:tab w:val="left" w:pos="-270"/>
        </w:tabs>
        <w:overflowPunct w:val="0"/>
        <w:autoSpaceDE w:val="0"/>
        <w:autoSpaceDN w:val="0"/>
        <w:adjustRightInd w:val="0"/>
        <w:spacing w:after="0" w:line="240" w:lineRule="auto"/>
        <w:ind w:left="567" w:right="-593" w:hanging="425"/>
        <w:jc w:val="both"/>
        <w:rPr>
          <w:rFonts w:ascii="Century Gothic" w:hAnsi="Century Gothic"/>
          <w:sz w:val="20"/>
          <w:szCs w:val="20"/>
        </w:rPr>
      </w:pPr>
      <w:r w:rsidRPr="00D85ACD">
        <w:rPr>
          <w:rFonts w:ascii="Century Gothic" w:hAnsi="Century Gothic"/>
          <w:sz w:val="20"/>
          <w:szCs w:val="20"/>
        </w:rPr>
        <w:t xml:space="preserve">The Balance Sheet and the Profit and Loss Account dealt with by this report, are in agreement with the books of account and the returns; </w:t>
      </w:r>
    </w:p>
    <w:p w:rsidR="00C66B5C" w:rsidRPr="00D85ACD" w:rsidRDefault="00C66B5C" w:rsidP="00C66B5C">
      <w:pPr>
        <w:widowControl w:val="0"/>
        <w:numPr>
          <w:ilvl w:val="0"/>
          <w:numId w:val="1"/>
        </w:numPr>
        <w:tabs>
          <w:tab w:val="left" w:pos="-270"/>
        </w:tabs>
        <w:overflowPunct w:val="0"/>
        <w:autoSpaceDE w:val="0"/>
        <w:autoSpaceDN w:val="0"/>
        <w:adjustRightInd w:val="0"/>
        <w:spacing w:after="0" w:line="240" w:lineRule="auto"/>
        <w:ind w:left="567" w:right="-593" w:hanging="425"/>
        <w:jc w:val="both"/>
        <w:rPr>
          <w:rFonts w:ascii="Century Gothic" w:hAnsi="Century Gothic"/>
          <w:sz w:val="20"/>
          <w:szCs w:val="20"/>
        </w:rPr>
      </w:pPr>
      <w:r w:rsidRPr="00D85ACD">
        <w:rPr>
          <w:rFonts w:ascii="Century Gothic" w:hAnsi="Century Gothic"/>
          <w:sz w:val="20"/>
          <w:szCs w:val="20"/>
        </w:rPr>
        <w:t>The accounting standards adopted by the Bank are consistent with those laid down by accounting principles generally accepted in India so far as applicable to banks</w:t>
      </w:r>
    </w:p>
    <w:p w:rsidR="00C66B5C" w:rsidRPr="00D85ACD" w:rsidRDefault="00C66B5C" w:rsidP="00C66B5C">
      <w:pPr>
        <w:widowControl w:val="0"/>
        <w:tabs>
          <w:tab w:val="left" w:pos="820"/>
        </w:tabs>
        <w:overflowPunct w:val="0"/>
        <w:autoSpaceDE w:val="0"/>
        <w:autoSpaceDN w:val="0"/>
        <w:adjustRightInd w:val="0"/>
        <w:spacing w:after="0" w:line="240" w:lineRule="auto"/>
        <w:ind w:left="142" w:right="-593"/>
        <w:jc w:val="both"/>
        <w:rPr>
          <w:rFonts w:ascii="Century Gothic" w:hAnsi="Century Gothic"/>
          <w:sz w:val="20"/>
          <w:szCs w:val="20"/>
        </w:rPr>
      </w:pPr>
    </w:p>
    <w:p w:rsidR="00C66B5C" w:rsidRDefault="00C66B5C" w:rsidP="00C66B5C">
      <w:pPr>
        <w:widowControl w:val="0"/>
        <w:tabs>
          <w:tab w:val="left" w:pos="820"/>
        </w:tabs>
        <w:overflowPunct w:val="0"/>
        <w:autoSpaceDE w:val="0"/>
        <w:autoSpaceDN w:val="0"/>
        <w:adjustRightInd w:val="0"/>
        <w:spacing w:after="0" w:line="240" w:lineRule="auto"/>
        <w:ind w:left="142" w:right="-593"/>
        <w:jc w:val="both"/>
        <w:rPr>
          <w:rFonts w:ascii="Century Gothic" w:hAnsi="Century Gothic"/>
          <w:sz w:val="20"/>
          <w:szCs w:val="20"/>
        </w:rPr>
      </w:pPr>
      <w:r w:rsidRPr="00D85ACD">
        <w:rPr>
          <w:rFonts w:ascii="Century Gothic" w:hAnsi="Century Gothic"/>
          <w:sz w:val="20"/>
          <w:szCs w:val="20"/>
        </w:rPr>
        <w:t>9. We further report that for the year under audit, the Bank has been awarded “A” classification.</w:t>
      </w:r>
    </w:p>
    <w:p w:rsidR="00C66B5C" w:rsidRDefault="00C66B5C" w:rsidP="00C66B5C">
      <w:pPr>
        <w:widowControl w:val="0"/>
        <w:tabs>
          <w:tab w:val="left" w:pos="820"/>
        </w:tabs>
        <w:overflowPunct w:val="0"/>
        <w:autoSpaceDE w:val="0"/>
        <w:autoSpaceDN w:val="0"/>
        <w:adjustRightInd w:val="0"/>
        <w:spacing w:after="0" w:line="240" w:lineRule="auto"/>
        <w:ind w:left="-567" w:right="-279"/>
        <w:jc w:val="both"/>
        <w:rPr>
          <w:rFonts w:ascii="Century Gothic" w:hAnsi="Century Gothic"/>
          <w:sz w:val="20"/>
          <w:szCs w:val="20"/>
        </w:rPr>
      </w:pPr>
    </w:p>
    <w:p w:rsidR="00C66B5C" w:rsidRPr="00224790" w:rsidRDefault="00C66B5C" w:rsidP="00C66B5C">
      <w:pPr>
        <w:spacing w:after="0" w:line="240" w:lineRule="auto"/>
        <w:rPr>
          <w:rFonts w:ascii="Century Gothic" w:hAnsi="Century Gothic"/>
          <w:sz w:val="20"/>
          <w:szCs w:val="20"/>
        </w:rPr>
      </w:pPr>
    </w:p>
    <w:p w:rsidR="00C66B5C" w:rsidRPr="00EA3067" w:rsidRDefault="00C66B5C" w:rsidP="00C66B5C">
      <w:pPr>
        <w:spacing w:after="0" w:line="240" w:lineRule="auto"/>
        <w:ind w:left="5040" w:firstLine="720"/>
        <w:jc w:val="both"/>
        <w:rPr>
          <w:rFonts w:ascii="Century Gothic" w:hAnsi="Century Gothic"/>
          <w:sz w:val="21"/>
          <w:szCs w:val="21"/>
        </w:rPr>
      </w:pPr>
      <w:r w:rsidRPr="00EA3067">
        <w:rPr>
          <w:rFonts w:ascii="Century Gothic" w:hAnsi="Century Gothic"/>
          <w:sz w:val="21"/>
          <w:szCs w:val="21"/>
        </w:rPr>
        <w:t>For Mathesh &amp; Ramana</w:t>
      </w:r>
    </w:p>
    <w:p w:rsidR="00C66B5C" w:rsidRPr="00EA3067" w:rsidRDefault="00C66B5C" w:rsidP="00C66B5C">
      <w:pPr>
        <w:spacing w:after="0" w:line="240" w:lineRule="auto"/>
        <w:ind w:left="5040" w:firstLine="720"/>
        <w:rPr>
          <w:rFonts w:ascii="Century Gothic" w:hAnsi="Century Gothic"/>
          <w:sz w:val="21"/>
          <w:szCs w:val="21"/>
        </w:rPr>
      </w:pPr>
      <w:r w:rsidRPr="00EA3067">
        <w:rPr>
          <w:rFonts w:ascii="Century Gothic" w:hAnsi="Century Gothic"/>
          <w:sz w:val="21"/>
          <w:szCs w:val="21"/>
        </w:rPr>
        <w:t>Chartered Accountants</w:t>
      </w:r>
    </w:p>
    <w:p w:rsidR="00C66B5C" w:rsidRPr="00EA3067" w:rsidRDefault="00C66B5C" w:rsidP="00C66B5C">
      <w:pPr>
        <w:spacing w:after="0" w:line="240" w:lineRule="auto"/>
        <w:ind w:left="5040" w:firstLine="720"/>
        <w:jc w:val="both"/>
        <w:rPr>
          <w:rFonts w:ascii="Century Gothic" w:hAnsi="Century Gothic"/>
          <w:b/>
          <w:sz w:val="21"/>
          <w:szCs w:val="21"/>
        </w:rPr>
      </w:pPr>
      <w:r w:rsidRPr="00EA3067">
        <w:rPr>
          <w:rFonts w:ascii="Century Gothic" w:hAnsi="Century Gothic"/>
          <w:sz w:val="21"/>
          <w:szCs w:val="21"/>
        </w:rPr>
        <w:t>ICAI FRN No. 002020S</w:t>
      </w:r>
    </w:p>
    <w:p w:rsidR="00C66B5C" w:rsidRDefault="00C66B5C" w:rsidP="00C66B5C">
      <w:pPr>
        <w:spacing w:after="0" w:line="240" w:lineRule="auto"/>
        <w:ind w:left="6480"/>
        <w:jc w:val="both"/>
        <w:rPr>
          <w:rFonts w:ascii="Century Gothic" w:hAnsi="Century Gothic"/>
          <w:b/>
          <w:sz w:val="21"/>
          <w:szCs w:val="21"/>
        </w:rPr>
      </w:pPr>
    </w:p>
    <w:p w:rsidR="00C66B5C" w:rsidRPr="00EA3067" w:rsidRDefault="00C66B5C" w:rsidP="00C66B5C">
      <w:pPr>
        <w:spacing w:after="0" w:line="240" w:lineRule="auto"/>
        <w:ind w:left="6480"/>
        <w:jc w:val="both"/>
        <w:rPr>
          <w:rFonts w:ascii="Century Gothic" w:hAnsi="Century Gothic"/>
          <w:b/>
          <w:sz w:val="21"/>
          <w:szCs w:val="21"/>
        </w:rPr>
      </w:pPr>
    </w:p>
    <w:p w:rsidR="00C66B5C" w:rsidRPr="00EA3067" w:rsidRDefault="00C66B5C" w:rsidP="00C66B5C">
      <w:pPr>
        <w:spacing w:after="0" w:line="240" w:lineRule="auto"/>
        <w:ind w:left="6480"/>
        <w:jc w:val="both"/>
        <w:rPr>
          <w:rFonts w:ascii="Century Gothic" w:hAnsi="Century Gothic"/>
          <w:b/>
          <w:sz w:val="21"/>
          <w:szCs w:val="21"/>
        </w:rPr>
      </w:pPr>
    </w:p>
    <w:p w:rsidR="00C66B5C" w:rsidRPr="00EA3067" w:rsidRDefault="00C66B5C" w:rsidP="00C66B5C">
      <w:pPr>
        <w:spacing w:after="0" w:line="240" w:lineRule="auto"/>
        <w:ind w:left="6480"/>
        <w:jc w:val="both"/>
        <w:rPr>
          <w:rFonts w:ascii="Century Gothic" w:hAnsi="Century Gothic"/>
          <w:b/>
          <w:sz w:val="21"/>
          <w:szCs w:val="21"/>
        </w:rPr>
      </w:pPr>
    </w:p>
    <w:p w:rsidR="00C66B5C" w:rsidRPr="00EA3067" w:rsidRDefault="00C66B5C" w:rsidP="00C66B5C">
      <w:pPr>
        <w:spacing w:after="0" w:line="240" w:lineRule="auto"/>
        <w:ind w:left="5040" w:firstLine="720"/>
        <w:jc w:val="both"/>
        <w:rPr>
          <w:rFonts w:ascii="Century Gothic" w:hAnsi="Century Gothic"/>
          <w:sz w:val="21"/>
          <w:szCs w:val="21"/>
        </w:rPr>
      </w:pPr>
      <w:r w:rsidRPr="00EA3067">
        <w:rPr>
          <w:rFonts w:ascii="Century Gothic" w:hAnsi="Century Gothic"/>
          <w:sz w:val="21"/>
          <w:szCs w:val="21"/>
        </w:rPr>
        <w:t>CA B. V. Ramana Reddy</w:t>
      </w:r>
    </w:p>
    <w:p w:rsidR="00C66B5C" w:rsidRPr="00EA3067" w:rsidRDefault="00C66B5C" w:rsidP="00C66B5C">
      <w:pPr>
        <w:spacing w:after="0" w:line="240" w:lineRule="auto"/>
        <w:ind w:left="5040" w:firstLine="720"/>
        <w:jc w:val="both"/>
        <w:rPr>
          <w:rFonts w:ascii="Century Gothic" w:hAnsi="Century Gothic"/>
          <w:sz w:val="21"/>
          <w:szCs w:val="21"/>
        </w:rPr>
      </w:pPr>
      <w:r w:rsidRPr="00EA3067">
        <w:rPr>
          <w:rFonts w:ascii="Century Gothic" w:hAnsi="Century Gothic"/>
          <w:sz w:val="21"/>
          <w:szCs w:val="21"/>
        </w:rPr>
        <w:t>Partner</w:t>
      </w:r>
    </w:p>
    <w:p w:rsidR="00C66B5C" w:rsidRPr="00EA3067" w:rsidRDefault="00C66B5C" w:rsidP="00C66B5C">
      <w:pPr>
        <w:spacing w:after="0" w:line="240" w:lineRule="auto"/>
        <w:ind w:right="-788"/>
        <w:jc w:val="both"/>
        <w:rPr>
          <w:rFonts w:ascii="Century Gothic" w:hAnsi="Century Gothic"/>
          <w:sz w:val="21"/>
          <w:szCs w:val="21"/>
        </w:rPr>
      </w:pPr>
      <w:r>
        <w:rPr>
          <w:rFonts w:ascii="Century Gothic" w:hAnsi="Century Gothic"/>
          <w:sz w:val="21"/>
          <w:szCs w:val="21"/>
        </w:rPr>
        <w:t>Hyderabad</w:t>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sidRPr="00EA3067">
        <w:rPr>
          <w:rFonts w:ascii="Century Gothic" w:hAnsi="Century Gothic"/>
          <w:sz w:val="21"/>
          <w:szCs w:val="21"/>
        </w:rPr>
        <w:t>M No. 026967</w:t>
      </w:r>
    </w:p>
    <w:p w:rsidR="00C66B5C" w:rsidRPr="00EA3067" w:rsidRDefault="00C66B5C" w:rsidP="00C66B5C">
      <w:pPr>
        <w:spacing w:after="0" w:line="240" w:lineRule="auto"/>
        <w:ind w:right="-788"/>
        <w:jc w:val="both"/>
        <w:rPr>
          <w:rFonts w:ascii="Century Gothic" w:hAnsi="Century Gothic"/>
          <w:color w:val="FF0000"/>
          <w:sz w:val="21"/>
          <w:szCs w:val="21"/>
        </w:rPr>
      </w:pPr>
      <w:r>
        <w:rPr>
          <w:rFonts w:ascii="Century Gothic" w:hAnsi="Century Gothic" w:cs="Arial"/>
          <w:sz w:val="21"/>
          <w:szCs w:val="21"/>
          <w:shd w:val="clear" w:color="auto" w:fill="FFFFFF"/>
        </w:rPr>
        <w:t xml:space="preserve">Date: 27.06.2024 </w:t>
      </w:r>
      <w:r>
        <w:rPr>
          <w:rFonts w:ascii="Century Gothic" w:hAnsi="Century Gothic" w:cs="Arial"/>
          <w:sz w:val="21"/>
          <w:szCs w:val="21"/>
          <w:shd w:val="clear" w:color="auto" w:fill="FFFFFF"/>
        </w:rPr>
        <w:tab/>
      </w:r>
      <w:r>
        <w:rPr>
          <w:rFonts w:ascii="Century Gothic" w:hAnsi="Century Gothic" w:cs="Arial"/>
          <w:sz w:val="21"/>
          <w:szCs w:val="21"/>
          <w:shd w:val="clear" w:color="auto" w:fill="FFFFFF"/>
        </w:rPr>
        <w:tab/>
      </w:r>
      <w:r>
        <w:rPr>
          <w:rFonts w:ascii="Century Gothic" w:hAnsi="Century Gothic" w:cs="Arial"/>
          <w:sz w:val="21"/>
          <w:szCs w:val="21"/>
          <w:shd w:val="clear" w:color="auto" w:fill="FFFFFF"/>
        </w:rPr>
        <w:tab/>
      </w:r>
      <w:r>
        <w:rPr>
          <w:rFonts w:ascii="Century Gothic" w:hAnsi="Century Gothic" w:cs="Arial"/>
          <w:sz w:val="21"/>
          <w:szCs w:val="21"/>
          <w:shd w:val="clear" w:color="auto" w:fill="FFFFFF"/>
        </w:rPr>
        <w:tab/>
      </w:r>
      <w:r>
        <w:rPr>
          <w:rFonts w:ascii="Century Gothic" w:hAnsi="Century Gothic" w:cs="Arial"/>
          <w:sz w:val="21"/>
          <w:szCs w:val="21"/>
          <w:shd w:val="clear" w:color="auto" w:fill="FFFFFF"/>
        </w:rPr>
        <w:tab/>
      </w:r>
      <w:r>
        <w:rPr>
          <w:rFonts w:ascii="Century Gothic" w:hAnsi="Century Gothic" w:cs="Arial"/>
          <w:sz w:val="21"/>
          <w:szCs w:val="21"/>
          <w:shd w:val="clear" w:color="auto" w:fill="FFFFFF"/>
        </w:rPr>
        <w:tab/>
      </w:r>
      <w:r w:rsidRPr="00EA3067">
        <w:rPr>
          <w:rFonts w:ascii="Century Gothic" w:hAnsi="Century Gothic" w:cs="Arial"/>
          <w:sz w:val="21"/>
          <w:szCs w:val="21"/>
          <w:shd w:val="clear" w:color="auto" w:fill="FFFFFF"/>
        </w:rPr>
        <w:t xml:space="preserve">UDIN: </w:t>
      </w:r>
      <w:r w:rsidRPr="00EA3067">
        <w:rPr>
          <w:rFonts w:ascii="Segoe UI" w:hAnsi="Segoe UI" w:cs="Segoe UI"/>
          <w:sz w:val="21"/>
          <w:szCs w:val="21"/>
          <w:shd w:val="clear" w:color="auto" w:fill="FFFFFF"/>
        </w:rPr>
        <w:t>24026967BKBOYV9369</w:t>
      </w:r>
    </w:p>
    <w:p w:rsidR="00C66B5C" w:rsidRPr="00224790" w:rsidRDefault="00C66B5C" w:rsidP="00C66B5C">
      <w:pPr>
        <w:spacing w:after="0" w:line="240" w:lineRule="auto"/>
        <w:rPr>
          <w:rFonts w:ascii="Century Gothic" w:hAnsi="Century Gothic"/>
          <w:sz w:val="20"/>
          <w:szCs w:val="20"/>
        </w:rPr>
      </w:pPr>
    </w:p>
    <w:p w:rsidR="00C66B5C" w:rsidRDefault="00C66B5C"/>
    <w:sectPr w:rsidR="00C66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4233"/>
    <w:multiLevelType w:val="hybridMultilevel"/>
    <w:tmpl w:val="953A6CAA"/>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37188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5C"/>
    <w:rsid w:val="008C5072"/>
    <w:rsid w:val="009403D7"/>
    <w:rsid w:val="00B32D5E"/>
    <w:rsid w:val="00C66B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A9E0"/>
  <w15:chartTrackingRefBased/>
  <w15:docId w15:val="{CF4F42FF-4060-4384-A6BC-729F67CD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5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andard Bulleted List,Bullet 1,List Paragraph1,List Paragraph Char Char,b1,d_bodyb,lp1,Amex_bullet,Figure_name,List Paragraph11,Number_1,SGLText List Paragraph,new,List Paragraph2,Colorful List - Accent 11,Normal Sentence,ListPar1,Annexu"/>
    <w:basedOn w:val="Normal"/>
    <w:link w:val="ListParagraphChar"/>
    <w:uiPriority w:val="34"/>
    <w:qFormat/>
    <w:rsid w:val="00C66B5C"/>
    <w:pPr>
      <w:spacing w:after="0" w:line="240" w:lineRule="auto"/>
      <w:ind w:left="720"/>
      <w:contextualSpacing/>
    </w:pPr>
    <w:rPr>
      <w:rFonts w:ascii="Times New Roman" w:eastAsia="SimSun" w:hAnsi="Times New Roman" w:cs="Times New Roman"/>
      <w:sz w:val="24"/>
      <w:szCs w:val="24"/>
      <w:lang w:val="x-none" w:eastAsia="x-none"/>
    </w:rPr>
  </w:style>
  <w:style w:type="character" w:customStyle="1" w:styleId="ListParagraphChar">
    <w:name w:val="List Paragraph Char"/>
    <w:aliases w:val="Standard Bulleted List Char,Bullet 1 Char,List Paragraph1 Char,List Paragraph Char Char Char,b1 Char,d_bodyb Char,lp1 Char,Amex_bullet Char,Figure_name Char,List Paragraph11 Char,Number_1 Char,SGLText List Paragraph Char,new Char"/>
    <w:link w:val="ListParagraph"/>
    <w:uiPriority w:val="34"/>
    <w:qFormat/>
    <w:locked/>
    <w:rsid w:val="00C66B5C"/>
    <w:rPr>
      <w:rFonts w:ascii="Times New Roman" w:eastAsia="SimSu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VARDHAMAN BANK</dc:creator>
  <cp:keywords/>
  <dc:description/>
  <cp:lastModifiedBy>VARDHAMAN BANK</cp:lastModifiedBy>
  <cp:revision>1</cp:revision>
  <dcterms:created xsi:type="dcterms:W3CDTF">2024-07-22T05:31:00Z</dcterms:created>
  <dcterms:modified xsi:type="dcterms:W3CDTF">2024-07-22T05:32:00Z</dcterms:modified>
</cp:coreProperties>
</file>